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14AF4" w14:textId="0DECD876" w:rsidR="006923E1" w:rsidRDefault="00B251E0" w:rsidP="006923E1">
      <w:pPr>
        <w:pStyle w:val="Title"/>
        <w:rPr>
          <w:shd w:val="clear" w:color="auto" w:fill="FFFFFF"/>
        </w:rPr>
      </w:pPr>
      <w:proofErr w:type="spellStart"/>
      <w:r>
        <w:rPr>
          <w:shd w:val="clear" w:color="auto" w:fill="FFFFFF"/>
        </w:rPr>
        <w:t>D</w:t>
      </w:r>
      <w:r w:rsidR="00E96CE3">
        <w:rPr>
          <w:shd w:val="clear" w:color="auto" w:fill="FFFFFF"/>
        </w:rPr>
        <w:t>are</w:t>
      </w:r>
      <w:r>
        <w:rPr>
          <w:shd w:val="clear" w:color="auto" w:fill="FFFFFF"/>
        </w:rPr>
        <w:t>duff</w:t>
      </w:r>
      <w:proofErr w:type="spellEnd"/>
      <w:r>
        <w:rPr>
          <w:shd w:val="clear" w:color="auto" w:fill="FFFFFF"/>
        </w:rPr>
        <w:t xml:space="preserve"> Hill </w:t>
      </w:r>
      <w:r w:rsidR="006923E1">
        <w:rPr>
          <w:shd w:val="clear" w:color="auto" w:fill="FFFFFF"/>
        </w:rPr>
        <w:t>Quarry Application Key Points</w:t>
      </w:r>
      <w:bookmarkStart w:id="0" w:name="_GoBack"/>
      <w:bookmarkEnd w:id="0"/>
    </w:p>
    <w:p w14:paraId="0D97A5C4" w14:textId="77777777" w:rsidR="006923E1" w:rsidRDefault="006923E1">
      <w:pPr>
        <w:rPr>
          <w:rFonts w:ascii="Arial" w:hAnsi="Arial" w:cs="Arial"/>
          <w:color w:val="333333"/>
          <w:sz w:val="23"/>
          <w:szCs w:val="23"/>
          <w:shd w:val="clear" w:color="auto" w:fill="FFFFFF"/>
        </w:rPr>
      </w:pPr>
    </w:p>
    <w:p w14:paraId="7E4F1A81" w14:textId="18415C41" w:rsidR="006923E1" w:rsidRDefault="001D4F45" w:rsidP="006923E1">
      <w:pPr>
        <w:pStyle w:val="Heading1"/>
        <w:rPr>
          <w:shd w:val="clear" w:color="auto" w:fill="FFFFFF"/>
        </w:rPr>
      </w:pPr>
      <w:r>
        <w:rPr>
          <w:shd w:val="clear" w:color="auto" w:fill="FFFFFF"/>
        </w:rPr>
        <w:t>DOCUMENT TITLE</w:t>
      </w:r>
      <w:r w:rsidR="006923E1">
        <w:rPr>
          <w:shd w:val="clear" w:color="auto" w:fill="FFFFFF"/>
        </w:rPr>
        <w:t>: Environmental statement part 1 march 2019</w:t>
      </w:r>
    </w:p>
    <w:p w14:paraId="3F29ED23" w14:textId="77777777" w:rsidR="007F4257" w:rsidRDefault="006923E1" w:rsidP="007F4257">
      <w:pPr>
        <w:pStyle w:val="Heading2"/>
      </w:pPr>
      <w:r>
        <w:t xml:space="preserve">3.4 Working Hours </w:t>
      </w:r>
    </w:p>
    <w:p w14:paraId="4D22292F" w14:textId="77777777" w:rsidR="007F4257" w:rsidRPr="007F4257" w:rsidRDefault="006923E1" w:rsidP="006923E1">
      <w:pPr>
        <w:rPr>
          <w:b/>
        </w:rPr>
      </w:pPr>
      <w:r w:rsidRPr="007F4257">
        <w:rPr>
          <w:b/>
        </w:rPr>
        <w:t xml:space="preserve">Monday to Friday 0700-1900 Saturday 0700-1400 </w:t>
      </w:r>
    </w:p>
    <w:p w14:paraId="29198D7C" w14:textId="3292BD8D" w:rsidR="006923E1" w:rsidRDefault="006923E1" w:rsidP="006923E1">
      <w:r>
        <w:t xml:space="preserve">No quarry operations would take place </w:t>
      </w:r>
      <w:proofErr w:type="spellStart"/>
      <w:r>
        <w:t>outwith</w:t>
      </w:r>
      <w:proofErr w:type="spellEnd"/>
      <w:r>
        <w:t xml:space="preserve"> these hours, on Sundays, or on Bank or Public Holidays (except the essential maintenance of plant).</w:t>
      </w:r>
    </w:p>
    <w:p w14:paraId="5558DBE0" w14:textId="77777777" w:rsidR="007F4257" w:rsidRDefault="007F4257" w:rsidP="007F4257">
      <w:pPr>
        <w:pStyle w:val="Heading2"/>
      </w:pPr>
      <w:r>
        <w:t xml:space="preserve">3.5 Blasting Procedure </w:t>
      </w:r>
    </w:p>
    <w:p w14:paraId="784AB551" w14:textId="77777777" w:rsidR="007F4257" w:rsidRDefault="007F4257" w:rsidP="006923E1">
      <w:r>
        <w:t xml:space="preserve">3.5.1 Due to the nature of the minerals to be extracted, there will be a requirement for blasting at the quarry. </w:t>
      </w:r>
      <w:r w:rsidRPr="007F4257">
        <w:rPr>
          <w:b/>
        </w:rPr>
        <w:t>Blasting would take place between 1000 to 1600 on weekdays</w:t>
      </w:r>
      <w:r>
        <w:t xml:space="preserve">. Only in cases of emergency where there are immediate over-riding health and safety concerns and with the manager’s permission can blasting take place outside these times. </w:t>
      </w:r>
    </w:p>
    <w:p w14:paraId="427E9D05" w14:textId="651AE05B" w:rsidR="007F4257" w:rsidRDefault="007F4257" w:rsidP="006923E1">
      <w:r>
        <w:t xml:space="preserve">3.5.2 The campaign-based working methodology means that the level of blasting will vary over time. It is anticipated there will be an average of </w:t>
      </w:r>
      <w:r w:rsidRPr="007F4257">
        <w:rPr>
          <w:b/>
        </w:rPr>
        <w:t>2 blast events per month</w:t>
      </w:r>
      <w:r>
        <w:t>. Details of blasting are addressed in Chapter 14 – Vibration.</w:t>
      </w:r>
    </w:p>
    <w:p w14:paraId="46294BE1" w14:textId="77777777" w:rsidR="007F4257" w:rsidRDefault="007F4257" w:rsidP="007F4257">
      <w:pPr>
        <w:pStyle w:val="Heading2"/>
      </w:pPr>
      <w:r>
        <w:t xml:space="preserve">Vehicle Numbers </w:t>
      </w:r>
    </w:p>
    <w:p w14:paraId="75D4B1A3" w14:textId="77777777" w:rsidR="007F4257" w:rsidRDefault="007F4257" w:rsidP="006923E1">
      <w:r>
        <w:t xml:space="preserve">3.6.2 As described above, the campaign-based method of working means that vehicle numbers will vary throughout the life of the quarry depending on what contracts ACS are working on at that time. </w:t>
      </w:r>
    </w:p>
    <w:p w14:paraId="531DEDAE" w14:textId="7BAFBF82" w:rsidR="007F4257" w:rsidRDefault="007F4257" w:rsidP="006923E1">
      <w:r>
        <w:t xml:space="preserve">3.6.3 For the purpose this assessment, the worst-case scenario has been considered in terms of potential vehicle numbers, i.e. transporting the maximum extraction volume of 250,000 tonnes per annum. A detailed consideration of potential impacts and proposed mitigation measures is included within the Traffic and Transport Chapter. With mitigation in place (detailed within Chapter 15), it is anticipated </w:t>
      </w:r>
      <w:r w:rsidRPr="007F4257">
        <w:rPr>
          <w:b/>
        </w:rPr>
        <w:t>that there will be 12 HGV movements per hour (6 in, 6 out)</w:t>
      </w:r>
      <w:r>
        <w:t>.</w:t>
      </w:r>
    </w:p>
    <w:p w14:paraId="2052E3D3" w14:textId="7802014C" w:rsidR="007F4257" w:rsidRDefault="007F4257" w:rsidP="007F4257">
      <w:pPr>
        <w:pStyle w:val="Heading2"/>
      </w:pPr>
      <w:r>
        <w:t>Traffic</w:t>
      </w:r>
    </w:p>
    <w:p w14:paraId="5CEE5609" w14:textId="77777777" w:rsidR="007F4257" w:rsidRDefault="007F4257" w:rsidP="007F4257">
      <w:r>
        <w:t xml:space="preserve">4.5.45 The effects of the traffic estimated to be generated by the proposed quarry during operation on these issues have been assessed and found to be of negligible significance, except for </w:t>
      </w:r>
      <w:r w:rsidRPr="007F4257">
        <w:rPr>
          <w:b/>
        </w:rPr>
        <w:t>potential Minor to Moderate effects on Pedestrian Amenity on Kingston Road, Neilston at school start and finish times</w:t>
      </w:r>
      <w:r>
        <w:t xml:space="preserve">. </w:t>
      </w:r>
    </w:p>
    <w:p w14:paraId="23C0F5F2" w14:textId="77777777" w:rsidR="007F4257" w:rsidRDefault="007F4257" w:rsidP="007F4257">
      <w:r>
        <w:t xml:space="preserve">4.5.46 As a result mitigation has been proposed in the form of ensuring there will be </w:t>
      </w:r>
      <w:r w:rsidRPr="007F4257">
        <w:rPr>
          <w:b/>
        </w:rPr>
        <w:t>no HGV movements to and from the quarry at school start and finish times</w:t>
      </w:r>
      <w:r>
        <w:t>. This mitigation ensures that the residual effects of Pedestrian Amenity are Negligible.</w:t>
      </w:r>
    </w:p>
    <w:p w14:paraId="7FF8AA41" w14:textId="3CA8111E" w:rsidR="007F4257" w:rsidRDefault="007F4257" w:rsidP="007F4257">
      <w:r>
        <w:t xml:space="preserve"> 4.5.47 Other proposed mitigation measures include: • Instructions to drivers and suppliers to follow the agreed route to and from the site • Use of dash and/ or rear cameras on HGVs • Implementation of good site management practice including wheel washing, vehicle sheeting and road cleaning.</w:t>
      </w:r>
    </w:p>
    <w:p w14:paraId="16A57B53" w14:textId="6578E74E" w:rsidR="007F4257" w:rsidRDefault="007F4257" w:rsidP="007F4257"/>
    <w:p w14:paraId="6A4E9877" w14:textId="08BD6014" w:rsidR="007F4257" w:rsidRDefault="007F4257" w:rsidP="00932F34">
      <w:pPr>
        <w:pStyle w:val="Heading2"/>
      </w:pPr>
      <w:r>
        <w:t>Landscape Planning and Heritage</w:t>
      </w:r>
    </w:p>
    <w:p w14:paraId="6B1235BE" w14:textId="77777777" w:rsidR="007F4257" w:rsidRDefault="007F4257" w:rsidP="007F4257">
      <w:r>
        <w:t xml:space="preserve">7.3.17 </w:t>
      </w:r>
      <w:r w:rsidRPr="00932F34">
        <w:rPr>
          <w:b/>
        </w:rPr>
        <w:t>Half of the site lies within the East Renfrewshire Green Belt.</w:t>
      </w:r>
    </w:p>
    <w:p w14:paraId="3932A3F6" w14:textId="77777777" w:rsidR="00932F34" w:rsidRDefault="007F4257" w:rsidP="007F4257">
      <w:r>
        <w:t xml:space="preserve"> 7.3.18 There </w:t>
      </w:r>
      <w:r w:rsidRPr="00932F34">
        <w:rPr>
          <w:b/>
        </w:rPr>
        <w:t>are two Sites of Specific Scientific</w:t>
      </w:r>
      <w:r>
        <w:t xml:space="preserve"> Interest at Loch </w:t>
      </w:r>
      <w:proofErr w:type="spellStart"/>
      <w:r>
        <w:t>Libo</w:t>
      </w:r>
      <w:proofErr w:type="spellEnd"/>
      <w:r>
        <w:t xml:space="preserve"> to the west and the Brother and Little Lochs to the east. East Ayrshire has designated a number of Local Nature Conservation Sites (LNCS) of which two are within the 2km study area namely </w:t>
      </w:r>
      <w:proofErr w:type="spellStart"/>
      <w:r>
        <w:t>Knockmade</w:t>
      </w:r>
      <w:proofErr w:type="spellEnd"/>
      <w:r>
        <w:t xml:space="preserve"> Moss and The </w:t>
      </w:r>
      <w:proofErr w:type="spellStart"/>
      <w:r>
        <w:t>Totherick</w:t>
      </w:r>
      <w:proofErr w:type="spellEnd"/>
      <w:r>
        <w:t xml:space="preserve">, the former being adjacent to the west of the site. </w:t>
      </w:r>
    </w:p>
    <w:p w14:paraId="03596711" w14:textId="77777777" w:rsidR="00932F34" w:rsidRDefault="007F4257" w:rsidP="007F4257">
      <w:r>
        <w:t xml:space="preserve">7.3.19 There are </w:t>
      </w:r>
      <w:r w:rsidRPr="00932F34">
        <w:rPr>
          <w:b/>
        </w:rPr>
        <w:t>a number of small Ancient Woodland sites scattered throughout the study area</w:t>
      </w:r>
      <w:r>
        <w:t xml:space="preserve">, larger areas are concentrated on the Caldwell House Estate and around </w:t>
      </w:r>
      <w:r w:rsidR="00932F34">
        <w:t xml:space="preserve">Loch </w:t>
      </w:r>
      <w:proofErr w:type="spellStart"/>
      <w:r>
        <w:t>Libo</w:t>
      </w:r>
      <w:proofErr w:type="spellEnd"/>
      <w:r>
        <w:t>; there are three within the 2km buffer, the nearest (</w:t>
      </w:r>
      <w:proofErr w:type="spellStart"/>
      <w:r>
        <w:t>Drumgrain</w:t>
      </w:r>
      <w:proofErr w:type="spellEnd"/>
      <w:r>
        <w:t xml:space="preserve"> Plantation) is located within the </w:t>
      </w:r>
      <w:proofErr w:type="spellStart"/>
      <w:r>
        <w:t>Knockmade</w:t>
      </w:r>
      <w:proofErr w:type="spellEnd"/>
      <w:r>
        <w:t xml:space="preserve"> Moss LNCS, the other two being the </w:t>
      </w:r>
      <w:proofErr w:type="spellStart"/>
      <w:r>
        <w:t>Knockmade</w:t>
      </w:r>
      <w:proofErr w:type="spellEnd"/>
      <w:r>
        <w:t xml:space="preserve"> and the </w:t>
      </w:r>
      <w:proofErr w:type="spellStart"/>
      <w:r>
        <w:t>Knockenae</w:t>
      </w:r>
      <w:proofErr w:type="spellEnd"/>
      <w:r>
        <w:t xml:space="preserve"> Plantations. </w:t>
      </w:r>
    </w:p>
    <w:p w14:paraId="641B91D7" w14:textId="48AF2CE0" w:rsidR="007F4257" w:rsidRPr="007F4257" w:rsidRDefault="007F4257" w:rsidP="007F4257">
      <w:r>
        <w:t xml:space="preserve">7.3.20 There are </w:t>
      </w:r>
      <w:r w:rsidRPr="00932F34">
        <w:rPr>
          <w:b/>
        </w:rPr>
        <w:t>three category A Listed Buildings within the study area</w:t>
      </w:r>
      <w:r>
        <w:t xml:space="preserve">. These are at Caldwell House approximately 4km to the west, Dunlop House approximately 4km to the south-west and High </w:t>
      </w:r>
      <w:proofErr w:type="spellStart"/>
      <w:r>
        <w:t>Williamshaw</w:t>
      </w:r>
      <w:proofErr w:type="spellEnd"/>
      <w:r>
        <w:t xml:space="preserve"> approximately 4.3km to the south. Other category B and C properties within the study area are isolated farms and cottages with clusters around Caldwell House and Dunlop. There is </w:t>
      </w:r>
      <w:r w:rsidRPr="00932F34">
        <w:rPr>
          <w:b/>
        </w:rPr>
        <w:t>one listed building (Cat B) within the 2km buffer</w:t>
      </w:r>
      <w:r>
        <w:t xml:space="preserve">, </w:t>
      </w:r>
      <w:proofErr w:type="spellStart"/>
      <w:r>
        <w:t>Craignaught</w:t>
      </w:r>
      <w:proofErr w:type="spellEnd"/>
      <w:r>
        <w:t xml:space="preserve"> Farm south of the site.</w:t>
      </w:r>
    </w:p>
    <w:p w14:paraId="79BE7334" w14:textId="35F3C995" w:rsidR="006923E1" w:rsidRDefault="00932F34" w:rsidP="00932F34">
      <w:pPr>
        <w:pStyle w:val="Heading2"/>
      </w:pPr>
      <w:r>
        <w:t>Effects on the landscape character of the site and the study area</w:t>
      </w:r>
    </w:p>
    <w:p w14:paraId="7113D057" w14:textId="50E1F633" w:rsidR="00932F34" w:rsidRDefault="00932F34">
      <w:r>
        <w:t xml:space="preserve">7.4.7 The proposals assume the quarry to be </w:t>
      </w:r>
      <w:r w:rsidRPr="00932F34">
        <w:rPr>
          <w:b/>
        </w:rPr>
        <w:t>operational for 10 years plus an additional year for restoration</w:t>
      </w:r>
      <w:r>
        <w:t>, this being the duration of operational effects on the landscape character of the area. Due to the nature of the topography and adjacent plantations and shelterbelts, the impacts upon landscape character will be very localised, the impacts will generally be at the site level, apart from of the effects in glimpsed views from the adjacent road.</w:t>
      </w:r>
    </w:p>
    <w:p w14:paraId="1700BD02" w14:textId="58ED6B65" w:rsidR="006923E1" w:rsidRDefault="00027E67">
      <w:r>
        <w:t xml:space="preserve"> </w:t>
      </w:r>
    </w:p>
    <w:p w14:paraId="273DE353" w14:textId="1E7CE9D4" w:rsidR="001D4F45" w:rsidRDefault="001D4F45" w:rsidP="001D4F45">
      <w:pPr>
        <w:pStyle w:val="Heading1"/>
        <w:rPr>
          <w:shd w:val="clear" w:color="auto" w:fill="FFFFFF"/>
        </w:rPr>
      </w:pPr>
      <w:r>
        <w:rPr>
          <w:shd w:val="clear" w:color="auto" w:fill="FFFFFF"/>
        </w:rPr>
        <w:t>DOCUMENT TITLE: Environmental statement part 2 march 2019</w:t>
      </w:r>
    </w:p>
    <w:p w14:paraId="183865D3" w14:textId="77777777" w:rsidR="00592235" w:rsidRDefault="001D4F45" w:rsidP="00592235">
      <w:pPr>
        <w:pStyle w:val="Heading2"/>
      </w:pPr>
      <w:r>
        <w:t xml:space="preserve">Private water supplies, abstractions and discharges </w:t>
      </w:r>
    </w:p>
    <w:p w14:paraId="11A589DA" w14:textId="77777777" w:rsidR="00592235" w:rsidRDefault="001D4F45" w:rsidP="001D4F45">
      <w:r>
        <w:t xml:space="preserve">East Ayrshire Council and East Renfrewshire Council provided details of </w:t>
      </w:r>
      <w:r w:rsidRPr="00592235">
        <w:rPr>
          <w:b/>
        </w:rPr>
        <w:t>PWS within 2km of the site</w:t>
      </w:r>
      <w:r>
        <w:t xml:space="preserve">, details of which are presented in Appendix 10.3 and are shown on Figure 10.2. </w:t>
      </w:r>
    </w:p>
    <w:p w14:paraId="3923370B" w14:textId="16A62493" w:rsidR="001D4F45" w:rsidRDefault="001D4F45" w:rsidP="001D4F45">
      <w:r>
        <w:t xml:space="preserve">There are </w:t>
      </w:r>
      <w:r w:rsidRPr="00592235">
        <w:rPr>
          <w:b/>
        </w:rPr>
        <w:t>12 properties within 2km of the site that have known PWS</w:t>
      </w:r>
      <w:r>
        <w:t xml:space="preserve"> as shown on Figure 10.2, however the some of these properties share a common source.</w:t>
      </w:r>
    </w:p>
    <w:p w14:paraId="7ED5CD9A" w14:textId="69987880" w:rsidR="00592235" w:rsidRDefault="00592235" w:rsidP="00592235">
      <w:pPr>
        <w:pStyle w:val="Heading2"/>
      </w:pPr>
      <w:r>
        <w:t>Noise</w:t>
      </w:r>
    </w:p>
    <w:p w14:paraId="3A8C0D6A" w14:textId="77777777" w:rsidR="00592235" w:rsidRDefault="00592235" w:rsidP="00592235">
      <w:r>
        <w:t xml:space="preserve">12.2.3 The </w:t>
      </w:r>
      <w:r w:rsidRPr="00592235">
        <w:rPr>
          <w:b/>
        </w:rPr>
        <w:t>measurements were carried out on the 25th July 2018.</w:t>
      </w:r>
      <w:r>
        <w:t xml:space="preserve"> The noise monitoring was conducted using a microphone mounted vertically on a tripod at a height of approximately 1.5m, and more than 3.5m away from any reflecting structure, to enable free field measurements. </w:t>
      </w:r>
    </w:p>
    <w:p w14:paraId="1953A968" w14:textId="0B5D91A1" w:rsidR="00592235" w:rsidRDefault="00592235" w:rsidP="00592235">
      <w:r>
        <w:t>12.2.4 Weather conditions were dry throughout the survey period. Wind speed at the microphone was measured at less than or equal to 5ms-</w:t>
      </w:r>
      <w:proofErr w:type="gramStart"/>
      <w:r>
        <w:t>1 .</w:t>
      </w:r>
      <w:proofErr w:type="gramEnd"/>
      <w:r>
        <w:t xml:space="preserve"> Temperature ranged between 9ºC and 23ºC, over the survey period.</w:t>
      </w:r>
    </w:p>
    <w:p w14:paraId="12CCD952" w14:textId="77777777" w:rsidR="0015642B" w:rsidRDefault="0015642B" w:rsidP="0015642B">
      <w:pPr>
        <w:pStyle w:val="Heading2"/>
      </w:pPr>
    </w:p>
    <w:p w14:paraId="48120730" w14:textId="77777777" w:rsidR="0015642B" w:rsidRDefault="0015642B" w:rsidP="0015642B">
      <w:pPr>
        <w:pStyle w:val="Heading2"/>
      </w:pPr>
    </w:p>
    <w:p w14:paraId="1FA87A73" w14:textId="76AA8E08" w:rsidR="0015642B" w:rsidRDefault="0015642B" w:rsidP="0015642B">
      <w:pPr>
        <w:pStyle w:val="Heading2"/>
      </w:pPr>
      <w:r>
        <w:t>13 AIR QUALITY</w:t>
      </w:r>
    </w:p>
    <w:p w14:paraId="0817C1B2" w14:textId="6104431D" w:rsidR="0015642B" w:rsidRDefault="0015642B" w:rsidP="0015642B">
      <w:r>
        <w:t xml:space="preserve">13.1 The proposed quarry will </w:t>
      </w:r>
      <w:r w:rsidRPr="0015642B">
        <w:t>generate</w:t>
      </w:r>
      <w:r w:rsidRPr="0015642B">
        <w:rPr>
          <w:b/>
        </w:rPr>
        <w:t xml:space="preserve"> 50 in and 50 out heavy-goods vehicle movements per day</w:t>
      </w:r>
      <w:r>
        <w:t xml:space="preserve"> (100 Annual Average Daily Traffic). It is acknowledged that a detailed assessment should be considered when more than 100 heavy-goods vehicle movements are created, in accordance with the Environmental Protection UK (EPUK) ‘Land-use Planning &amp; Development Control: Planning for Air Quality’ 2017[3]</w:t>
      </w:r>
    </w:p>
    <w:p w14:paraId="7B8F89D2" w14:textId="33C68C96" w:rsidR="0015642B" w:rsidRDefault="0015642B" w:rsidP="0015642B">
      <w:r>
        <w:t xml:space="preserve">13.2.6 The potential impact on the local community </w:t>
      </w:r>
      <w:r w:rsidRPr="0015642B">
        <w:rPr>
          <w:b/>
        </w:rPr>
        <w:t>of large and intermediate dust particles</w:t>
      </w:r>
      <w:r>
        <w:t xml:space="preserve"> dispersing from the site is principally its potential to cause annoyance or nuisance. The IAQM Mineral Guidance refers to these effects as ‘</w:t>
      </w:r>
      <w:proofErr w:type="spellStart"/>
      <w:r>
        <w:t>disamenity</w:t>
      </w:r>
      <w:proofErr w:type="spellEnd"/>
      <w:r>
        <w:t xml:space="preserve"> dust’.</w:t>
      </w:r>
    </w:p>
    <w:p w14:paraId="0EC56895" w14:textId="77777777" w:rsidR="0015642B" w:rsidRDefault="0015642B" w:rsidP="0015642B">
      <w:pPr>
        <w:pStyle w:val="Heading2"/>
      </w:pPr>
      <w:r>
        <w:t xml:space="preserve">Discussions of </w:t>
      </w:r>
      <w:proofErr w:type="spellStart"/>
      <w:r>
        <w:t>Disamenity</w:t>
      </w:r>
      <w:proofErr w:type="spellEnd"/>
      <w:r>
        <w:t xml:space="preserve"> Dust Results </w:t>
      </w:r>
    </w:p>
    <w:p w14:paraId="630C3367" w14:textId="65D7C2E9" w:rsidR="0015642B" w:rsidRDefault="0015642B" w:rsidP="0015642B">
      <w:pPr>
        <w:rPr>
          <w:b/>
        </w:rPr>
      </w:pPr>
      <w:r>
        <w:t xml:space="preserve">13.5.10 The majority of the </w:t>
      </w:r>
      <w:proofErr w:type="spellStart"/>
      <w:r>
        <w:t>Dareduff</w:t>
      </w:r>
      <w:proofErr w:type="spellEnd"/>
      <w:r>
        <w:t xml:space="preserve"> Quarry dust-generating operations will be located more than 400m from ESR 1. The only operation located within 400m is a section of the internal transportation route which traverses around the quarry perimeter. This is not a haul route (i.e. loose surface and dust prone) but a hard-packed transportation road to be used by heavy-duty vehicles prior to exiting onto the public highway network. </w:t>
      </w:r>
      <w:r w:rsidRPr="0015642B">
        <w:rPr>
          <w:b/>
        </w:rPr>
        <w:t>Dust generation is therefore expected to be low to negligible.</w:t>
      </w:r>
    </w:p>
    <w:p w14:paraId="215D5351" w14:textId="3D0BFCBD" w:rsidR="0015642B" w:rsidRDefault="00E241C1" w:rsidP="00E241C1">
      <w:pPr>
        <w:pStyle w:val="Heading2"/>
      </w:pPr>
      <w:r w:rsidRPr="00E241C1">
        <w:t>Vibration</w:t>
      </w:r>
    </w:p>
    <w:p w14:paraId="2AACE2DD" w14:textId="77777777" w:rsidR="00E241C1" w:rsidRDefault="00E241C1" w:rsidP="00E241C1">
      <w:r w:rsidRPr="00E241C1">
        <w:rPr>
          <w:b/>
        </w:rPr>
        <w:t>No secondary blasting</w:t>
      </w:r>
      <w:r>
        <w:t xml:space="preserve"> shall be permitted at the quarry. This is recognised as a particular cause of high air overpressure effects. </w:t>
      </w:r>
    </w:p>
    <w:p w14:paraId="0FEBA120" w14:textId="45880ED4" w:rsidR="00E241C1" w:rsidRDefault="00E241C1" w:rsidP="00E241C1">
      <w:r>
        <w:t xml:space="preserve">The use of </w:t>
      </w:r>
      <w:r w:rsidRPr="00E241C1">
        <w:rPr>
          <w:b/>
        </w:rPr>
        <w:t>detonating cord on the surface of the blast will be prohibited</w:t>
      </w:r>
      <w:r>
        <w:t xml:space="preserve"> at the quarry. The use of detonating cord, particularly if it is not adequately covered, will result in high air overpressure effects.</w:t>
      </w:r>
    </w:p>
    <w:p w14:paraId="2E5A4213" w14:textId="77777777" w:rsidR="00B251E0" w:rsidRDefault="00B251E0" w:rsidP="00E241C1">
      <w:pPr>
        <w:pStyle w:val="Heading2"/>
      </w:pPr>
    </w:p>
    <w:p w14:paraId="0FADACFE" w14:textId="2B887E19" w:rsidR="00E241C1" w:rsidRDefault="00E241C1" w:rsidP="00E241C1">
      <w:pPr>
        <w:pStyle w:val="Heading2"/>
      </w:pPr>
      <w:r>
        <w:t>Traffic</w:t>
      </w:r>
    </w:p>
    <w:p w14:paraId="70D3CDD7" w14:textId="57C6C6A2" w:rsidR="00E241C1" w:rsidRDefault="00B251E0" w:rsidP="00E241C1">
      <w:r>
        <w:rPr>
          <w:noProof/>
        </w:rPr>
        <w:drawing>
          <wp:inline distT="0" distB="0" distL="0" distR="0" wp14:anchorId="4A6FEB54" wp14:editId="58E4ACD2">
            <wp:extent cx="6391275" cy="708430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9083" t="13886" r="29537" b="4569"/>
                    <a:stretch/>
                  </pic:blipFill>
                  <pic:spPr bwMode="auto">
                    <a:xfrm>
                      <a:off x="0" y="0"/>
                      <a:ext cx="6397593" cy="7091308"/>
                    </a:xfrm>
                    <a:prstGeom prst="rect">
                      <a:avLst/>
                    </a:prstGeom>
                    <a:ln>
                      <a:noFill/>
                    </a:ln>
                    <a:extLst>
                      <a:ext uri="{53640926-AAD7-44D8-BBD7-CCE9431645EC}">
                        <a14:shadowObscured xmlns:a14="http://schemas.microsoft.com/office/drawing/2010/main"/>
                      </a:ext>
                    </a:extLst>
                  </pic:spPr>
                </pic:pic>
              </a:graphicData>
            </a:graphic>
          </wp:inline>
        </w:drawing>
      </w:r>
    </w:p>
    <w:p w14:paraId="7FBF2697" w14:textId="77777777" w:rsidR="00B251E0" w:rsidRDefault="00B251E0" w:rsidP="00E241C1"/>
    <w:sectPr w:rsidR="00B251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923E1"/>
    <w:rsid w:val="00027E67"/>
    <w:rsid w:val="0015642B"/>
    <w:rsid w:val="001D4F45"/>
    <w:rsid w:val="00592235"/>
    <w:rsid w:val="006923E1"/>
    <w:rsid w:val="007F4257"/>
    <w:rsid w:val="00865E12"/>
    <w:rsid w:val="00932F34"/>
    <w:rsid w:val="00B251E0"/>
    <w:rsid w:val="00E241C1"/>
    <w:rsid w:val="00E96C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FE0D6"/>
  <w15:chartTrackingRefBased/>
  <w15:docId w15:val="{B4B213B9-78AD-4ACF-8F28-5E0BC3364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23E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F425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923E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23E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923E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7F4257"/>
    <w:rPr>
      <w:rFonts w:asciiTheme="majorHAnsi" w:eastAsiaTheme="majorEastAsia" w:hAnsiTheme="majorHAnsi" w:cstheme="majorBidi"/>
      <w:color w:val="365F91" w:themeColor="accent1" w:themeShade="BF"/>
      <w:sz w:val="26"/>
      <w:szCs w:val="26"/>
    </w:rPr>
  </w:style>
  <w:style w:type="paragraph" w:styleId="BalloonText">
    <w:name w:val="Balloon Text"/>
    <w:basedOn w:val="Normal"/>
    <w:link w:val="BalloonTextChar"/>
    <w:uiPriority w:val="99"/>
    <w:semiHidden/>
    <w:unhideWhenUsed/>
    <w:rsid w:val="00B251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1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4</Pages>
  <Words>1005</Words>
  <Characters>5734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Leggat</dc:creator>
  <cp:keywords/>
  <dc:description/>
  <cp:lastModifiedBy>Ross Leggat</cp:lastModifiedBy>
  <cp:revision>2</cp:revision>
  <dcterms:created xsi:type="dcterms:W3CDTF">2019-04-23T17:45:00Z</dcterms:created>
  <dcterms:modified xsi:type="dcterms:W3CDTF">2019-05-01T15:15:00Z</dcterms:modified>
</cp:coreProperties>
</file>